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720"/>
        <w:gridCol w:w="8064"/>
        <w:gridCol w:w="2736"/>
        <w:gridCol w:w="720"/>
      </w:tblGrid>
      <w:tr w:rsidR="001F461C" w14:paraId="53340CAE" w14:textId="77777777">
        <w:tc>
          <w:tcPr>
            <w:tcW w:w="720" w:type="dxa"/>
            <w:tcBorders>
              <w:bottom w:val="single" w:sz="22" w:space="0" w:color="CEB888"/>
            </w:tcBorders>
            <w:shd w:val="clear" w:color="auto" w:fill="000000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4FB77FC" w14:textId="77777777" w:rsidR="001F461C" w:rsidRDefault="001F461C"/>
        </w:tc>
        <w:tc>
          <w:tcPr>
            <w:tcW w:w="8064" w:type="dxa"/>
            <w:tcBorders>
              <w:bottom w:val="single" w:sz="22" w:space="0" w:color="CEB888"/>
            </w:tcBorders>
            <w:shd w:val="clear" w:color="auto" w:fill="000000"/>
            <w:tcMar>
              <w:top w:w="170" w:type="dxa"/>
              <w:left w:w="20" w:type="dxa"/>
              <w:bottom w:w="170" w:type="dxa"/>
              <w:right w:w="120" w:type="dxa"/>
            </w:tcMar>
            <w:vAlign w:val="center"/>
          </w:tcPr>
          <w:p w14:paraId="0E36B2DA" w14:textId="77777777" w:rsidR="001F461C" w:rsidRDefault="00144CD1">
            <w:pPr>
              <w:spacing w:after="0"/>
            </w:pPr>
            <w:r>
              <w:rPr>
                <w:b/>
                <w:color w:val="CEB888"/>
                <w:spacing w:val="50"/>
                <w:sz w:val="30"/>
              </w:rPr>
              <w:t>PURDUE</w:t>
            </w:r>
            <w:r>
              <w:rPr>
                <w:b/>
                <w:color w:val="FFFFFF"/>
                <w:spacing w:val="24"/>
                <w:sz w:val="30"/>
              </w:rPr>
              <w:t xml:space="preserve">  STUDENT MANAGED INVESTMENT FUND</w:t>
            </w:r>
          </w:p>
          <w:p w14:paraId="6378006D" w14:textId="77777777" w:rsidR="001F461C" w:rsidRDefault="00144CD1">
            <w:pPr>
              <w:spacing w:before="60" w:after="0"/>
            </w:pPr>
            <w:r>
              <w:rPr>
                <w:color w:val="CFCFCF"/>
                <w:spacing w:val="45"/>
                <w:sz w:val="17"/>
              </w:rPr>
              <w:t>EQUITY RESEARCH    ·    SINGLE-NAME COVERAGE</w:t>
            </w:r>
          </w:p>
        </w:tc>
        <w:tc>
          <w:tcPr>
            <w:tcW w:w="2736" w:type="dxa"/>
            <w:tcBorders>
              <w:bottom w:val="single" w:sz="22" w:space="0" w:color="CEB888"/>
            </w:tcBorders>
            <w:shd w:val="clear" w:color="auto" w:fill="000000"/>
            <w:tcMar>
              <w:top w:w="170" w:type="dxa"/>
              <w:left w:w="120" w:type="dxa"/>
              <w:bottom w:w="170" w:type="dxa"/>
              <w:right w:w="20" w:type="dxa"/>
            </w:tcMar>
            <w:vAlign w:val="center"/>
          </w:tcPr>
          <w:p w14:paraId="0DB54E63" w14:textId="77777777" w:rsidR="001F461C" w:rsidRDefault="00144CD1">
            <w:pPr>
              <w:spacing w:after="0"/>
              <w:jc w:val="right"/>
            </w:pPr>
            <w:r>
              <w:rPr>
                <w:b/>
                <w:color w:val="CEB888"/>
                <w:spacing w:val="60"/>
                <w:sz w:val="30"/>
              </w:rPr>
              <w:t>AMZN</w:t>
            </w:r>
          </w:p>
          <w:p w14:paraId="7F8CD7F2" w14:textId="77777777" w:rsidR="001F461C" w:rsidRDefault="00144CD1">
            <w:pPr>
              <w:spacing w:before="60" w:after="0"/>
              <w:jc w:val="right"/>
            </w:pPr>
            <w:r>
              <w:rPr>
                <w:color w:val="9B9EA4"/>
                <w:spacing w:val="45"/>
                <w:sz w:val="16"/>
              </w:rPr>
              <w:t>AS OF JUNE 9, 2026</w:t>
            </w:r>
          </w:p>
        </w:tc>
        <w:tc>
          <w:tcPr>
            <w:tcW w:w="720" w:type="dxa"/>
            <w:tcBorders>
              <w:bottom w:val="single" w:sz="22" w:space="0" w:color="CEB888"/>
            </w:tcBorders>
            <w:shd w:val="clear" w:color="auto" w:fill="000000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94550A7" w14:textId="77777777" w:rsidR="001F461C" w:rsidRDefault="001F461C"/>
        </w:tc>
      </w:tr>
    </w:tbl>
    <w:p w14:paraId="1DCC756B" w14:textId="77777777" w:rsidR="006C552E" w:rsidRPr="006C552E" w:rsidRDefault="006C552E">
      <w:pPr>
        <w:rPr>
          <w:b/>
          <w:color w:val="000000"/>
          <w:sz w:val="10"/>
          <w:szCs w:val="2"/>
        </w:rPr>
      </w:pPr>
    </w:p>
    <w:p w14:paraId="7495E3D5" w14:textId="6CFC155D" w:rsidR="001F461C" w:rsidRDefault="00144CD1">
      <w:r>
        <w:rPr>
          <w:b/>
          <w:color w:val="000000"/>
          <w:sz w:val="40"/>
        </w:rPr>
        <w:t xml:space="preserve">Amazon.com, Inc.   </w:t>
      </w:r>
      <w:r>
        <w:rPr>
          <w:sz w:val="26"/>
        </w:rPr>
        <w:t>(AMZN  |  NASDAQ)</w:t>
      </w:r>
    </w:p>
    <w:p w14:paraId="35524A61" w14:textId="77777777" w:rsidR="001F461C" w:rsidRDefault="00144CD1">
      <w:pPr>
        <w:spacing w:after="140"/>
      </w:pPr>
      <w:r>
        <w:rPr>
          <w:spacing w:val="30"/>
          <w:sz w:val="17"/>
        </w:rPr>
        <w:t>CONSUMER DISCRETIONARY   ·   INTERNET RETAIL &amp; CLOUD COMPUTING          ANALYST: IAN TEH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1F461C" w14:paraId="793246E7" w14:textId="77777777"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0FC4993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6"/>
              </w:rPr>
              <w:t>RATING</w:t>
            </w:r>
          </w:p>
        </w:tc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99F5A2D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6"/>
              </w:rPr>
              <w:t>PRICE (6/9/26)</w:t>
            </w:r>
          </w:p>
        </w:tc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51535F04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6"/>
              </w:rPr>
              <w:t>12-MONTH TARGET</w:t>
            </w:r>
          </w:p>
        </w:tc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06710129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6"/>
              </w:rPr>
              <w:t>IMPLIED RETURN</w:t>
            </w:r>
          </w:p>
        </w:tc>
        <w:tc>
          <w:tcPr>
            <w:tcW w:w="2160" w:type="dxa"/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</w:tcPr>
          <w:p w14:paraId="38463A2B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6"/>
              </w:rPr>
              <w:t>BASE WACC</w:t>
            </w:r>
          </w:p>
        </w:tc>
      </w:tr>
      <w:tr w:rsidR="001F461C" w14:paraId="5336F1CC" w14:textId="77777777">
        <w:tc>
          <w:tcPr>
            <w:tcW w:w="2160" w:type="dxa"/>
            <w:shd w:val="clear" w:color="auto" w:fill="F5F2E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8D71078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UNDERWEIGHT</w:t>
            </w:r>
          </w:p>
        </w:tc>
        <w:tc>
          <w:tcPr>
            <w:tcW w:w="2160" w:type="dxa"/>
            <w:shd w:val="clear" w:color="auto" w:fill="F5F2E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D9F8B83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$243.81</w:t>
            </w:r>
          </w:p>
        </w:tc>
        <w:tc>
          <w:tcPr>
            <w:tcW w:w="2160" w:type="dxa"/>
            <w:shd w:val="clear" w:color="auto" w:fill="E8D9A0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CB7D1BE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$148</w:t>
            </w:r>
          </w:p>
        </w:tc>
        <w:tc>
          <w:tcPr>
            <w:tcW w:w="2160" w:type="dxa"/>
            <w:shd w:val="clear" w:color="auto" w:fill="F5F2E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2F645DB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−</w:t>
            </w:r>
            <w:r>
              <w:rPr>
                <w:b/>
                <w:color w:val="000000"/>
                <w:sz w:val="25"/>
              </w:rPr>
              <w:t>39%</w:t>
            </w:r>
          </w:p>
        </w:tc>
        <w:tc>
          <w:tcPr>
            <w:tcW w:w="2160" w:type="dxa"/>
            <w:shd w:val="clear" w:color="auto" w:fill="F5F2E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CE2C89C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5"/>
              </w:rPr>
              <w:t>10.5%</w:t>
            </w:r>
          </w:p>
        </w:tc>
      </w:tr>
    </w:tbl>
    <w:p w14:paraId="7DE6F2F3" w14:textId="77777777" w:rsidR="001F461C" w:rsidRDefault="00144CD1">
      <w:pPr>
        <w:spacing w:before="160"/>
      </w:pPr>
      <w:r>
        <w:rPr>
          <w:b/>
          <w:color w:val="000000"/>
          <w:sz w:val="22"/>
        </w:rPr>
        <w:t>Thesis</w:t>
      </w:r>
    </w:p>
    <w:p w14:paraId="3FB65A06" w14:textId="77777777" w:rsidR="00014519" w:rsidRDefault="00144CD1" w:rsidP="006C552E">
      <w:r>
        <w:t xml:space="preserve">Amazon is an excellent business priced for a capital-spending payoff its cash flows do not yet show. Revenue compounded to $716.9 Billion in 2025, AWS reaccelerated to 20% growth for the year, and advertising grew 22%. None of that is in dispute. The </w:t>
      </w:r>
      <w:r>
        <w:t xml:space="preserve">question is what the company earns on the $131.8 Billion it spent on </w:t>
      </w:r>
      <w:r w:rsidR="00341B83">
        <w:t>PP&amp;E</w:t>
      </w:r>
      <w:r>
        <w:t xml:space="preserve"> in 2025 and </w:t>
      </w:r>
      <w:r w:rsidR="00341B83">
        <w:t>roughly</w:t>
      </w:r>
      <w:r>
        <w:t xml:space="preserve"> $200</w:t>
      </w:r>
      <w:r w:rsidR="00341B83">
        <w:t>B i</w:t>
      </w:r>
      <w:r>
        <w:t>n management guided for 2026.</w:t>
      </w:r>
      <w:r w:rsidR="00014519">
        <w:br/>
      </w:r>
    </w:p>
    <w:p w14:paraId="311D7236" w14:textId="276A9A83" w:rsidR="006C552E" w:rsidRDefault="00144CD1" w:rsidP="006C552E">
      <w:r>
        <w:t xml:space="preserve">Our valuation discounts 10 years of free cash flow to the firm at </w:t>
      </w:r>
      <w:proofErr w:type="gramStart"/>
      <w:r>
        <w:t>a 10.5</w:t>
      </w:r>
      <w:proofErr w:type="gramEnd"/>
      <w:r>
        <w:t>% WACC. The base case assumes revenue growth tapering from 11% to 5%, EBITDA margin widening from 21% to 26% as AWS and advertising mix up, and capex normalizing from 16% to 9% of sales. As of June 9, 2026, our model projects intrinsic value of $123 per share. Probability-weighted across the three cases, the target is $148, roughly 39% below the current price.</w:t>
      </w:r>
    </w:p>
    <w:p w14:paraId="4AA39FDE" w14:textId="51B352C4" w:rsidR="001F461C" w:rsidRDefault="006C552E" w:rsidP="006C552E">
      <w:r>
        <w:rPr>
          <w:b/>
        </w:rPr>
        <w:br/>
      </w:r>
      <w:r w:rsidR="00144CD1">
        <w:rPr>
          <w:b/>
          <w:color w:val="000000"/>
          <w:sz w:val="22"/>
        </w:rPr>
        <w:t>Operating Snapshot — FY2025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F461C" w14:paraId="54698607" w14:textId="77777777">
        <w:tc>
          <w:tcPr>
            <w:tcW w:w="2700" w:type="dxa"/>
            <w:shd w:val="clear" w:color="auto" w:fill="000000"/>
            <w:tcMar>
              <w:top w:w="35" w:type="dxa"/>
              <w:left w:w="90" w:type="dxa"/>
              <w:bottom w:w="16" w:type="dxa"/>
              <w:right w:w="90" w:type="dxa"/>
            </w:tcMar>
          </w:tcPr>
          <w:p w14:paraId="0238D85A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CEB888"/>
                <w:spacing w:val="20"/>
                <w:sz w:val="16"/>
              </w:rPr>
              <w:t>NET SALES</w:t>
            </w:r>
          </w:p>
        </w:tc>
        <w:tc>
          <w:tcPr>
            <w:tcW w:w="2700" w:type="dxa"/>
            <w:shd w:val="clear" w:color="auto" w:fill="000000"/>
            <w:tcMar>
              <w:top w:w="35" w:type="dxa"/>
              <w:left w:w="90" w:type="dxa"/>
              <w:bottom w:w="16" w:type="dxa"/>
              <w:right w:w="90" w:type="dxa"/>
            </w:tcMar>
          </w:tcPr>
          <w:p w14:paraId="59D099DC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CEB888"/>
                <w:spacing w:val="20"/>
                <w:sz w:val="16"/>
              </w:rPr>
              <w:t>AWS REVENUE</w:t>
            </w:r>
          </w:p>
        </w:tc>
        <w:tc>
          <w:tcPr>
            <w:tcW w:w="2700" w:type="dxa"/>
            <w:shd w:val="clear" w:color="auto" w:fill="000000"/>
            <w:tcMar>
              <w:top w:w="35" w:type="dxa"/>
              <w:left w:w="90" w:type="dxa"/>
              <w:bottom w:w="16" w:type="dxa"/>
              <w:right w:w="90" w:type="dxa"/>
            </w:tcMar>
          </w:tcPr>
          <w:p w14:paraId="32AB6A5C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CEB888"/>
                <w:spacing w:val="20"/>
                <w:sz w:val="16"/>
              </w:rPr>
              <w:t>OPERATING INCOME</w:t>
            </w:r>
          </w:p>
        </w:tc>
        <w:tc>
          <w:tcPr>
            <w:tcW w:w="2700" w:type="dxa"/>
            <w:shd w:val="clear" w:color="auto" w:fill="000000"/>
            <w:tcMar>
              <w:top w:w="35" w:type="dxa"/>
              <w:left w:w="90" w:type="dxa"/>
              <w:bottom w:w="16" w:type="dxa"/>
              <w:right w:w="90" w:type="dxa"/>
            </w:tcMar>
          </w:tcPr>
          <w:p w14:paraId="751C294E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CEB888"/>
                <w:spacing w:val="20"/>
                <w:sz w:val="16"/>
              </w:rPr>
              <w:t>FREE CASH FLOW</w:t>
            </w:r>
          </w:p>
        </w:tc>
      </w:tr>
      <w:tr w:rsidR="001F461C" w14:paraId="5C5372F5" w14:textId="77777777">
        <w:tc>
          <w:tcPr>
            <w:tcW w:w="2700" w:type="dxa"/>
            <w:shd w:val="clear" w:color="auto" w:fill="F5F2EC"/>
            <w:tcMar>
              <w:top w:w="16" w:type="dxa"/>
              <w:left w:w="90" w:type="dxa"/>
              <w:bottom w:w="40" w:type="dxa"/>
              <w:right w:w="90" w:type="dxa"/>
            </w:tcMar>
          </w:tcPr>
          <w:p w14:paraId="6F479B93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3"/>
              </w:rPr>
              <w:t>$716.9 Billion</w:t>
            </w:r>
          </w:p>
          <w:p w14:paraId="292838DC" w14:textId="77777777" w:rsidR="001F461C" w:rsidRDefault="00144CD1">
            <w:pPr>
              <w:spacing w:after="0"/>
              <w:jc w:val="center"/>
            </w:pPr>
            <w:r>
              <w:rPr>
                <w:sz w:val="16"/>
              </w:rPr>
              <w:t>+12% YoY</w:t>
            </w:r>
          </w:p>
        </w:tc>
        <w:tc>
          <w:tcPr>
            <w:tcW w:w="2700" w:type="dxa"/>
            <w:shd w:val="clear" w:color="auto" w:fill="F5F2EC"/>
            <w:tcMar>
              <w:top w:w="16" w:type="dxa"/>
              <w:left w:w="90" w:type="dxa"/>
              <w:bottom w:w="40" w:type="dxa"/>
              <w:right w:w="90" w:type="dxa"/>
            </w:tcMar>
          </w:tcPr>
          <w:p w14:paraId="071A1D7A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3"/>
              </w:rPr>
              <w:t>$128.7 Billion</w:t>
            </w:r>
          </w:p>
          <w:p w14:paraId="0FE984B9" w14:textId="77777777" w:rsidR="001F461C" w:rsidRDefault="00144CD1">
            <w:pPr>
              <w:spacing w:after="0"/>
              <w:jc w:val="center"/>
            </w:pPr>
            <w:r>
              <w:rPr>
                <w:sz w:val="16"/>
              </w:rPr>
              <w:t>+20% YoY</w:t>
            </w:r>
          </w:p>
        </w:tc>
        <w:tc>
          <w:tcPr>
            <w:tcW w:w="2700" w:type="dxa"/>
            <w:shd w:val="clear" w:color="auto" w:fill="F5F2EC"/>
            <w:tcMar>
              <w:top w:w="16" w:type="dxa"/>
              <w:left w:w="90" w:type="dxa"/>
              <w:bottom w:w="40" w:type="dxa"/>
              <w:right w:w="90" w:type="dxa"/>
            </w:tcMar>
          </w:tcPr>
          <w:p w14:paraId="0C9577EA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3"/>
              </w:rPr>
              <w:t>$80.0 Billion</w:t>
            </w:r>
          </w:p>
          <w:p w14:paraId="5D260327" w14:textId="77777777" w:rsidR="001F461C" w:rsidRDefault="00144CD1">
            <w:pPr>
              <w:spacing w:after="0"/>
              <w:jc w:val="center"/>
            </w:pPr>
            <w:r>
              <w:rPr>
                <w:sz w:val="16"/>
              </w:rPr>
              <w:t>11.2% margin</w:t>
            </w:r>
          </w:p>
        </w:tc>
        <w:tc>
          <w:tcPr>
            <w:tcW w:w="2700" w:type="dxa"/>
            <w:shd w:val="clear" w:color="auto" w:fill="F5F2EC"/>
            <w:tcMar>
              <w:top w:w="16" w:type="dxa"/>
              <w:left w:w="90" w:type="dxa"/>
              <w:bottom w:w="40" w:type="dxa"/>
              <w:right w:w="90" w:type="dxa"/>
            </w:tcMar>
          </w:tcPr>
          <w:p w14:paraId="1653E362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23"/>
              </w:rPr>
              <w:t>$11.2 Billion</w:t>
            </w:r>
          </w:p>
          <w:p w14:paraId="2B46F5E1" w14:textId="77777777" w:rsidR="001F461C" w:rsidRDefault="00144CD1">
            <w:pPr>
              <w:spacing w:after="0"/>
              <w:jc w:val="center"/>
            </w:pPr>
            <w:r>
              <w:rPr>
                <w:sz w:val="16"/>
              </w:rPr>
              <w:t>from $38.2 Billion</w:t>
            </w:r>
          </w:p>
        </w:tc>
      </w:tr>
    </w:tbl>
    <w:p w14:paraId="086E0004" w14:textId="677AF82D" w:rsidR="001F461C" w:rsidRDefault="006C552E">
      <w:pPr>
        <w:spacing w:before="100"/>
      </w:pPr>
      <w:r>
        <w:rPr>
          <w:b/>
          <w:color w:val="000000"/>
          <w:sz w:val="22"/>
        </w:rPr>
        <w:br/>
      </w:r>
      <w:r w:rsidR="00144CD1">
        <w:rPr>
          <w:b/>
          <w:color w:val="000000"/>
          <w:sz w:val="22"/>
        </w:rPr>
        <w:t>Key Model Drivers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2016"/>
        <w:gridCol w:w="2016"/>
        <w:gridCol w:w="2016"/>
      </w:tblGrid>
      <w:tr w:rsidR="001F461C" w14:paraId="2650AB4D" w14:textId="77777777">
        <w:tc>
          <w:tcPr>
            <w:tcW w:w="4752" w:type="dxa"/>
            <w:shd w:val="clear" w:color="auto" w:fill="000000"/>
            <w:tcMar>
              <w:top w:w="35" w:type="dxa"/>
              <w:left w:w="90" w:type="dxa"/>
              <w:bottom w:w="35" w:type="dxa"/>
              <w:right w:w="90" w:type="dxa"/>
            </w:tcMar>
          </w:tcPr>
          <w:p w14:paraId="7F035937" w14:textId="77777777" w:rsidR="001F461C" w:rsidRDefault="00144CD1">
            <w:pPr>
              <w:spacing w:after="0"/>
            </w:pPr>
            <w:r>
              <w:rPr>
                <w:b/>
                <w:color w:val="FFFFFF"/>
                <w:spacing w:val="20"/>
                <w:sz w:val="18"/>
              </w:rPr>
              <w:t>DRIVER</w:t>
            </w:r>
          </w:p>
        </w:tc>
        <w:tc>
          <w:tcPr>
            <w:tcW w:w="2016" w:type="dxa"/>
            <w:shd w:val="clear" w:color="auto" w:fill="000000"/>
            <w:tcMar>
              <w:top w:w="35" w:type="dxa"/>
              <w:left w:w="90" w:type="dxa"/>
              <w:bottom w:w="35" w:type="dxa"/>
              <w:right w:w="90" w:type="dxa"/>
            </w:tcMar>
          </w:tcPr>
          <w:p w14:paraId="3E8282EC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8"/>
              </w:rPr>
              <w:t>BEAR</w:t>
            </w:r>
          </w:p>
        </w:tc>
        <w:tc>
          <w:tcPr>
            <w:tcW w:w="2016" w:type="dxa"/>
            <w:shd w:val="clear" w:color="auto" w:fill="000000"/>
            <w:tcMar>
              <w:top w:w="35" w:type="dxa"/>
              <w:left w:w="90" w:type="dxa"/>
              <w:bottom w:w="35" w:type="dxa"/>
              <w:right w:w="90" w:type="dxa"/>
            </w:tcMar>
          </w:tcPr>
          <w:p w14:paraId="2FE57FF6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8"/>
              </w:rPr>
              <w:t>BASE</w:t>
            </w:r>
          </w:p>
        </w:tc>
        <w:tc>
          <w:tcPr>
            <w:tcW w:w="2016" w:type="dxa"/>
            <w:shd w:val="clear" w:color="auto" w:fill="000000"/>
            <w:tcMar>
              <w:top w:w="35" w:type="dxa"/>
              <w:left w:w="90" w:type="dxa"/>
              <w:bottom w:w="35" w:type="dxa"/>
              <w:right w:w="90" w:type="dxa"/>
            </w:tcMar>
          </w:tcPr>
          <w:p w14:paraId="126ACD3F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8"/>
              </w:rPr>
              <w:t>BULL</w:t>
            </w:r>
          </w:p>
        </w:tc>
      </w:tr>
      <w:tr w:rsidR="001F461C" w14:paraId="2456F698" w14:textId="77777777">
        <w:tc>
          <w:tcPr>
            <w:tcW w:w="4752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7FC87266" w14:textId="77777777" w:rsidR="001F461C" w:rsidRDefault="00144CD1">
            <w:pPr>
              <w:spacing w:after="0"/>
            </w:pPr>
            <w:r>
              <w:rPr>
                <w:color w:val="000000"/>
                <w:sz w:val="19"/>
              </w:rPr>
              <w:t>Revenue growth, Years 1–3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47D9B38E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8%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05CA3C36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11%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3A748D21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14%</w:t>
            </w:r>
          </w:p>
        </w:tc>
      </w:tr>
      <w:tr w:rsidR="001F461C" w14:paraId="49A98C0D" w14:textId="77777777">
        <w:tc>
          <w:tcPr>
            <w:tcW w:w="4752" w:type="dxa"/>
            <w:shd w:val="clear" w:color="auto" w:fill="FFFFF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373EE343" w14:textId="77777777" w:rsidR="001F461C" w:rsidRDefault="00144CD1">
            <w:pPr>
              <w:spacing w:after="0"/>
            </w:pPr>
            <w:r>
              <w:rPr>
                <w:color w:val="000000"/>
                <w:sz w:val="19"/>
              </w:rPr>
              <w:t>Terminal EBITDA margin</w:t>
            </w:r>
          </w:p>
        </w:tc>
        <w:tc>
          <w:tcPr>
            <w:tcW w:w="2016" w:type="dxa"/>
            <w:shd w:val="clear" w:color="auto" w:fill="FFFFF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02A1441B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22%</w:t>
            </w:r>
          </w:p>
        </w:tc>
        <w:tc>
          <w:tcPr>
            <w:tcW w:w="2016" w:type="dxa"/>
            <w:shd w:val="clear" w:color="auto" w:fill="FFFFF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7FBE6D36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26%</w:t>
            </w:r>
          </w:p>
        </w:tc>
        <w:tc>
          <w:tcPr>
            <w:tcW w:w="2016" w:type="dxa"/>
            <w:shd w:val="clear" w:color="auto" w:fill="FFFFF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4770B3AB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30%</w:t>
            </w:r>
          </w:p>
        </w:tc>
      </w:tr>
      <w:tr w:rsidR="001F461C" w14:paraId="024FAEFB" w14:textId="77777777">
        <w:tc>
          <w:tcPr>
            <w:tcW w:w="4752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086E9BE7" w14:textId="77777777" w:rsidR="001F461C" w:rsidRDefault="00144CD1">
            <w:pPr>
              <w:spacing w:after="0"/>
            </w:pPr>
            <w:r>
              <w:rPr>
                <w:color w:val="000000"/>
                <w:sz w:val="19"/>
              </w:rPr>
              <w:t>Capex, Years 1–3 (% of sales)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165FA3D8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18%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6E1D4E69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16%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75561424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14%</w:t>
            </w:r>
          </w:p>
        </w:tc>
      </w:tr>
      <w:tr w:rsidR="001F461C" w14:paraId="1BCA3D6E" w14:textId="77777777">
        <w:tc>
          <w:tcPr>
            <w:tcW w:w="4752" w:type="dxa"/>
            <w:shd w:val="clear" w:color="auto" w:fill="FFFFF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45F87713" w14:textId="77777777" w:rsidR="001F461C" w:rsidRDefault="00144CD1">
            <w:pPr>
              <w:spacing w:after="0"/>
            </w:pPr>
            <w:r>
              <w:rPr>
                <w:color w:val="000000"/>
                <w:sz w:val="19"/>
              </w:rPr>
              <w:t>Terminal growth rate</w:t>
            </w:r>
          </w:p>
        </w:tc>
        <w:tc>
          <w:tcPr>
            <w:tcW w:w="2016" w:type="dxa"/>
            <w:shd w:val="clear" w:color="auto" w:fill="FFFFF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67FCEDF7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2.5%</w:t>
            </w:r>
          </w:p>
        </w:tc>
        <w:tc>
          <w:tcPr>
            <w:tcW w:w="2016" w:type="dxa"/>
            <w:shd w:val="clear" w:color="auto" w:fill="FFFFF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6D421A4F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3.0%</w:t>
            </w:r>
          </w:p>
        </w:tc>
        <w:tc>
          <w:tcPr>
            <w:tcW w:w="2016" w:type="dxa"/>
            <w:shd w:val="clear" w:color="auto" w:fill="FFFFFF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1BF83306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3.5%</w:t>
            </w:r>
          </w:p>
        </w:tc>
      </w:tr>
      <w:tr w:rsidR="001F461C" w14:paraId="7B0BEC9B" w14:textId="77777777">
        <w:tc>
          <w:tcPr>
            <w:tcW w:w="4752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38A36D0B" w14:textId="77777777" w:rsidR="001F461C" w:rsidRDefault="00144CD1">
            <w:pPr>
              <w:spacing w:after="0"/>
            </w:pPr>
            <w:r>
              <w:rPr>
                <w:color w:val="000000"/>
                <w:sz w:val="19"/>
              </w:rPr>
              <w:t>WACC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709B0ECB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12.2%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07936CBF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10.5%</w:t>
            </w:r>
          </w:p>
        </w:tc>
        <w:tc>
          <w:tcPr>
            <w:tcW w:w="2016" w:type="dxa"/>
            <w:shd w:val="clear" w:color="auto" w:fill="F5F2EC"/>
            <w:tcMar>
              <w:top w:w="24" w:type="dxa"/>
              <w:left w:w="90" w:type="dxa"/>
              <w:bottom w:w="24" w:type="dxa"/>
              <w:right w:w="90" w:type="dxa"/>
            </w:tcMar>
          </w:tcPr>
          <w:p w14:paraId="3DBF9D8D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9.3%</w:t>
            </w:r>
          </w:p>
        </w:tc>
      </w:tr>
    </w:tbl>
    <w:p w14:paraId="1380F3F7" w14:textId="738FC16B" w:rsidR="001F461C" w:rsidRDefault="006C552E">
      <w:pPr>
        <w:spacing w:before="100"/>
      </w:pPr>
      <w:r>
        <w:rPr>
          <w:b/>
          <w:color w:val="000000"/>
          <w:sz w:val="22"/>
        </w:rPr>
        <w:br/>
      </w:r>
      <w:r w:rsidR="00144CD1">
        <w:rPr>
          <w:b/>
          <w:color w:val="000000"/>
          <w:sz w:val="22"/>
        </w:rPr>
        <w:t>Scenario Valuation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2880"/>
        <w:gridCol w:w="1584"/>
        <w:gridCol w:w="1584"/>
      </w:tblGrid>
      <w:tr w:rsidR="001F461C" w14:paraId="59DE54D5" w14:textId="77777777">
        <w:tc>
          <w:tcPr>
            <w:tcW w:w="4752" w:type="dxa"/>
            <w:shd w:val="clear" w:color="auto" w:fill="000000"/>
            <w:tcMar>
              <w:top w:w="35" w:type="dxa"/>
              <w:left w:w="90" w:type="dxa"/>
              <w:bottom w:w="35" w:type="dxa"/>
              <w:right w:w="90" w:type="dxa"/>
            </w:tcMar>
          </w:tcPr>
          <w:p w14:paraId="551C15BC" w14:textId="77777777" w:rsidR="001F461C" w:rsidRDefault="00144CD1">
            <w:pPr>
              <w:spacing w:after="0"/>
            </w:pPr>
            <w:r>
              <w:rPr>
                <w:b/>
                <w:color w:val="FFFFFF"/>
                <w:spacing w:val="20"/>
                <w:sz w:val="18"/>
              </w:rPr>
              <w:t>SCENARIO</w:t>
            </w:r>
          </w:p>
        </w:tc>
        <w:tc>
          <w:tcPr>
            <w:tcW w:w="2880" w:type="dxa"/>
            <w:shd w:val="clear" w:color="auto" w:fill="000000"/>
            <w:tcMar>
              <w:top w:w="35" w:type="dxa"/>
              <w:left w:w="90" w:type="dxa"/>
              <w:bottom w:w="35" w:type="dxa"/>
              <w:right w:w="90" w:type="dxa"/>
            </w:tcMar>
          </w:tcPr>
          <w:p w14:paraId="317AA052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8"/>
              </w:rPr>
              <w:t>INTRINSIC VALUE / SHARE</w:t>
            </w:r>
          </w:p>
        </w:tc>
        <w:tc>
          <w:tcPr>
            <w:tcW w:w="1584" w:type="dxa"/>
            <w:shd w:val="clear" w:color="auto" w:fill="000000"/>
            <w:tcMar>
              <w:top w:w="35" w:type="dxa"/>
              <w:left w:w="90" w:type="dxa"/>
              <w:bottom w:w="35" w:type="dxa"/>
              <w:right w:w="90" w:type="dxa"/>
            </w:tcMar>
          </w:tcPr>
          <w:p w14:paraId="48652728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8"/>
              </w:rPr>
              <w:t>IMPLIED RETURN</w:t>
            </w:r>
          </w:p>
        </w:tc>
        <w:tc>
          <w:tcPr>
            <w:tcW w:w="1584" w:type="dxa"/>
            <w:shd w:val="clear" w:color="auto" w:fill="000000"/>
            <w:tcMar>
              <w:top w:w="35" w:type="dxa"/>
              <w:left w:w="90" w:type="dxa"/>
              <w:bottom w:w="35" w:type="dxa"/>
              <w:right w:w="90" w:type="dxa"/>
            </w:tcMar>
          </w:tcPr>
          <w:p w14:paraId="6B9BFA4D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FFFFFF"/>
                <w:spacing w:val="20"/>
                <w:sz w:val="18"/>
              </w:rPr>
              <w:t>PROBABILITY</w:t>
            </w:r>
          </w:p>
        </w:tc>
      </w:tr>
      <w:tr w:rsidR="001F461C" w14:paraId="3EFC7113" w14:textId="77777777">
        <w:tc>
          <w:tcPr>
            <w:tcW w:w="4752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16948C5" w14:textId="77777777" w:rsidR="001F461C" w:rsidRDefault="00144CD1">
            <w:pPr>
              <w:spacing w:after="0"/>
            </w:pPr>
            <w:r>
              <w:rPr>
                <w:color w:val="000000"/>
                <w:sz w:val="19"/>
              </w:rPr>
              <w:t>Bear</w:t>
            </w:r>
          </w:p>
        </w:tc>
        <w:tc>
          <w:tcPr>
            <w:tcW w:w="2880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7F197BCA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$40</w:t>
            </w:r>
          </w:p>
        </w:tc>
        <w:tc>
          <w:tcPr>
            <w:tcW w:w="158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0FAEE680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−</w:t>
            </w:r>
            <w:r>
              <w:rPr>
                <w:color w:val="000000"/>
                <w:sz w:val="19"/>
              </w:rPr>
              <w:t>84%</w:t>
            </w:r>
          </w:p>
        </w:tc>
        <w:tc>
          <w:tcPr>
            <w:tcW w:w="158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3CD888D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20%</w:t>
            </w:r>
          </w:p>
        </w:tc>
      </w:tr>
      <w:tr w:rsidR="001F461C" w14:paraId="4D564A52" w14:textId="77777777">
        <w:tc>
          <w:tcPr>
            <w:tcW w:w="4752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758AB64C" w14:textId="77777777" w:rsidR="001F461C" w:rsidRDefault="00144CD1">
            <w:pPr>
              <w:spacing w:after="0"/>
            </w:pPr>
            <w:r>
              <w:rPr>
                <w:color w:val="000000"/>
                <w:sz w:val="19"/>
              </w:rPr>
              <w:t>Base</w:t>
            </w:r>
          </w:p>
        </w:tc>
        <w:tc>
          <w:tcPr>
            <w:tcW w:w="2880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5807DFD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$123</w:t>
            </w:r>
          </w:p>
        </w:tc>
        <w:tc>
          <w:tcPr>
            <w:tcW w:w="1584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0D6E40D5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−</w:t>
            </w:r>
            <w:r>
              <w:rPr>
                <w:color w:val="000000"/>
                <w:sz w:val="19"/>
              </w:rPr>
              <w:t>49%</w:t>
            </w:r>
          </w:p>
        </w:tc>
        <w:tc>
          <w:tcPr>
            <w:tcW w:w="1584" w:type="dxa"/>
            <w:shd w:val="clear" w:color="auto" w:fill="FFFFFF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59B9F0C3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55%</w:t>
            </w:r>
          </w:p>
        </w:tc>
      </w:tr>
      <w:tr w:rsidR="001F461C" w14:paraId="2BA498D9" w14:textId="77777777">
        <w:tc>
          <w:tcPr>
            <w:tcW w:w="4752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026E11B2" w14:textId="77777777" w:rsidR="001F461C" w:rsidRDefault="00144CD1">
            <w:pPr>
              <w:spacing w:after="0"/>
            </w:pPr>
            <w:r>
              <w:rPr>
                <w:color w:val="000000"/>
                <w:sz w:val="19"/>
              </w:rPr>
              <w:t>Bull</w:t>
            </w:r>
          </w:p>
        </w:tc>
        <w:tc>
          <w:tcPr>
            <w:tcW w:w="2880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53A98E56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$289</w:t>
            </w:r>
          </w:p>
        </w:tc>
        <w:tc>
          <w:tcPr>
            <w:tcW w:w="158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2AC66DAF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+19%</w:t>
            </w:r>
          </w:p>
        </w:tc>
        <w:tc>
          <w:tcPr>
            <w:tcW w:w="1584" w:type="dxa"/>
            <w:shd w:val="clear" w:color="auto" w:fill="F5F2EC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196AA765" w14:textId="77777777" w:rsidR="001F461C" w:rsidRDefault="00144CD1">
            <w:pPr>
              <w:spacing w:after="0"/>
              <w:jc w:val="center"/>
            </w:pPr>
            <w:r>
              <w:rPr>
                <w:color w:val="000000"/>
                <w:sz w:val="19"/>
              </w:rPr>
              <w:t>25%</w:t>
            </w:r>
          </w:p>
        </w:tc>
      </w:tr>
      <w:tr w:rsidR="001F461C" w14:paraId="27F7B440" w14:textId="77777777">
        <w:tc>
          <w:tcPr>
            <w:tcW w:w="4752" w:type="dxa"/>
            <w:shd w:val="clear" w:color="auto" w:fill="E8D9A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488776D" w14:textId="77777777" w:rsidR="001F461C" w:rsidRDefault="00144CD1">
            <w:pPr>
              <w:spacing w:after="0"/>
            </w:pPr>
            <w:r>
              <w:rPr>
                <w:b/>
                <w:color w:val="000000"/>
                <w:sz w:val="19"/>
              </w:rPr>
              <w:t>Probability-Weighted Target</w:t>
            </w:r>
          </w:p>
        </w:tc>
        <w:tc>
          <w:tcPr>
            <w:tcW w:w="2880" w:type="dxa"/>
            <w:shd w:val="clear" w:color="auto" w:fill="E8D9A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25A6C15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$148</w:t>
            </w:r>
          </w:p>
        </w:tc>
        <w:tc>
          <w:tcPr>
            <w:tcW w:w="1584" w:type="dxa"/>
            <w:shd w:val="clear" w:color="auto" w:fill="E8D9A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41F15984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−</w:t>
            </w:r>
            <w:r>
              <w:rPr>
                <w:b/>
                <w:color w:val="000000"/>
                <w:sz w:val="19"/>
              </w:rPr>
              <w:t>39%</w:t>
            </w:r>
          </w:p>
        </w:tc>
        <w:tc>
          <w:tcPr>
            <w:tcW w:w="1584" w:type="dxa"/>
            <w:shd w:val="clear" w:color="auto" w:fill="E8D9A0"/>
            <w:tcMar>
              <w:top w:w="22" w:type="dxa"/>
              <w:left w:w="90" w:type="dxa"/>
              <w:bottom w:w="22" w:type="dxa"/>
              <w:right w:w="90" w:type="dxa"/>
            </w:tcMar>
          </w:tcPr>
          <w:p w14:paraId="6303E867" w14:textId="77777777" w:rsidR="001F461C" w:rsidRDefault="00144CD1">
            <w:pPr>
              <w:spacing w:after="0"/>
              <w:jc w:val="center"/>
            </w:pPr>
            <w:r>
              <w:rPr>
                <w:b/>
                <w:color w:val="000000"/>
                <w:sz w:val="19"/>
              </w:rPr>
              <w:t>100%</w:t>
            </w:r>
          </w:p>
        </w:tc>
      </w:tr>
    </w:tbl>
    <w:p w14:paraId="64CAC640" w14:textId="77777777" w:rsidR="001F461C" w:rsidRDefault="00144CD1">
      <w:pPr>
        <w:spacing w:before="40" w:after="0"/>
      </w:pPr>
      <w:r>
        <w:rPr>
          <w:i/>
          <w:sz w:val="17"/>
        </w:rPr>
        <w:t>Only the bull case clears today’s price, and it requires terminal EBITDA margin near 30% and capex falling toward 11% of revenue. We view that outcome as possible, not probable.</w:t>
      </w:r>
    </w:p>
    <w:p w14:paraId="52247EA2" w14:textId="77777777" w:rsidR="001F461C" w:rsidRDefault="00144CD1">
      <w:pPr>
        <w:spacing w:before="100"/>
      </w:pPr>
      <w:r>
        <w:rPr>
          <w:b/>
          <w:color w:val="000000"/>
          <w:sz w:val="22"/>
        </w:rPr>
        <w:t>Variant View</w:t>
      </w:r>
    </w:p>
    <w:p w14:paraId="2E5D3A54" w14:textId="3DDDE346" w:rsidR="005328F2" w:rsidRDefault="00144CD1">
      <w:r>
        <w:t>Consensus capitalizes the AI buildout as future operating leverage. We treat it as cash out the door until the return is visible. Free cash flow fell to $11.2 Billion in 2025 from $38.2 Billion a year earlier, driven almost entirely by higher property and equipment purchases. At $243.81, the price embeds a payback on that spending we cannot yet measure in the cash flows.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5400"/>
      </w:tblGrid>
      <w:tr w:rsidR="001F461C" w14:paraId="6D021FE1" w14:textId="77777777" w:rsidTr="005328F2">
        <w:tc>
          <w:tcPr>
            <w:tcW w:w="5400" w:type="dxa"/>
            <w:tcMar>
              <w:top w:w="40" w:type="dxa"/>
              <w:left w:w="0" w:type="dxa"/>
              <w:bottom w:w="40" w:type="dxa"/>
              <w:right w:w="180" w:type="dxa"/>
            </w:tcMar>
          </w:tcPr>
          <w:p w14:paraId="553CBA70" w14:textId="77777777" w:rsidR="00341B83" w:rsidRPr="00341B83" w:rsidRDefault="00341B83">
            <w:pPr>
              <w:spacing w:after="0"/>
              <w:rPr>
                <w:b/>
                <w:color w:val="000000"/>
                <w:sz w:val="4"/>
                <w:szCs w:val="4"/>
              </w:rPr>
            </w:pPr>
          </w:p>
          <w:p w14:paraId="6D8C54E6" w14:textId="672D705E" w:rsidR="001F461C" w:rsidRDefault="00144CD1">
            <w:pPr>
              <w:spacing w:after="0"/>
            </w:pPr>
            <w:r>
              <w:rPr>
                <w:b/>
                <w:color w:val="000000"/>
                <w:sz w:val="22"/>
              </w:rPr>
              <w:t>Catalysts (next 2–4 quarters)</w:t>
            </w:r>
          </w:p>
          <w:p w14:paraId="3BA1F46A" w14:textId="77777777" w:rsidR="001F461C" w:rsidRDefault="00144CD1">
            <w:pPr>
              <w:spacing w:before="40" w:after="0"/>
            </w:pPr>
            <w:r>
              <w:rPr>
                <w:sz w:val="19"/>
              </w:rPr>
              <w:t>•  AWS operating-margin trend each quarter.</w:t>
            </w:r>
          </w:p>
          <w:p w14:paraId="4F2A5FE6" w14:textId="77777777" w:rsidR="001F461C" w:rsidRDefault="00144CD1">
            <w:pPr>
              <w:spacing w:before="40" w:after="0"/>
            </w:pPr>
            <w:r>
              <w:rPr>
                <w:sz w:val="19"/>
              </w:rPr>
              <w:t>•  2026 capex actuals against the ~$200 Billion guide.</w:t>
            </w:r>
          </w:p>
          <w:p w14:paraId="27ADC8C8" w14:textId="77777777" w:rsidR="001F461C" w:rsidRDefault="00144CD1">
            <w:pPr>
              <w:spacing w:before="40" w:after="0"/>
            </w:pPr>
            <w:r>
              <w:rPr>
                <w:sz w:val="19"/>
              </w:rPr>
              <w:t>•  Evidence Trainium and Bedrock convert spend into AWS share and margin.</w:t>
            </w:r>
          </w:p>
        </w:tc>
        <w:tc>
          <w:tcPr>
            <w:tcW w:w="5400" w:type="dxa"/>
            <w:tcMar>
              <w:top w:w="40" w:type="dxa"/>
              <w:left w:w="180" w:type="dxa"/>
              <w:bottom w:w="40" w:type="dxa"/>
              <w:right w:w="0" w:type="dxa"/>
            </w:tcMar>
          </w:tcPr>
          <w:p w14:paraId="6266F6EC" w14:textId="77777777" w:rsidR="00341B83" w:rsidRPr="00341B83" w:rsidRDefault="00341B83">
            <w:pPr>
              <w:spacing w:after="0"/>
              <w:rPr>
                <w:b/>
                <w:color w:val="000000"/>
                <w:sz w:val="4"/>
                <w:szCs w:val="4"/>
              </w:rPr>
            </w:pPr>
          </w:p>
          <w:p w14:paraId="50FC6C68" w14:textId="15C930EF" w:rsidR="001F461C" w:rsidRDefault="00144CD1">
            <w:pPr>
              <w:spacing w:after="0"/>
            </w:pPr>
            <w:r>
              <w:rPr>
                <w:b/>
                <w:color w:val="000000"/>
                <w:sz w:val="22"/>
              </w:rPr>
              <w:t>Risks to the Underweight</w:t>
            </w:r>
          </w:p>
          <w:p w14:paraId="7ED7C41E" w14:textId="77777777" w:rsidR="001F461C" w:rsidRDefault="00144CD1">
            <w:pPr>
              <w:spacing w:before="40" w:after="0"/>
            </w:pPr>
            <w:r>
              <w:rPr>
                <w:sz w:val="19"/>
              </w:rPr>
              <w:t>•  Faster AWS margin expansion or advertising acceleration.</w:t>
            </w:r>
          </w:p>
          <w:p w14:paraId="368BBA25" w14:textId="77777777" w:rsidR="001F461C" w:rsidRDefault="00144CD1">
            <w:pPr>
              <w:spacing w:before="40" w:after="0"/>
            </w:pPr>
            <w:r>
              <w:rPr>
                <w:sz w:val="19"/>
              </w:rPr>
              <w:t>•  Capex discipline that lifts near-term free cash flow.</w:t>
            </w:r>
          </w:p>
          <w:p w14:paraId="2970F20A" w14:textId="77777777" w:rsidR="001F461C" w:rsidRDefault="00144CD1">
            <w:pPr>
              <w:spacing w:before="40" w:after="0"/>
            </w:pPr>
            <w:r>
              <w:rPr>
                <w:sz w:val="19"/>
              </w:rPr>
              <w:t>•  Sensitivity: 1 point of terminal EBITDA margin ≈ $25 per share.</w:t>
            </w:r>
          </w:p>
        </w:tc>
      </w:tr>
    </w:tbl>
    <w:p w14:paraId="058DE810" w14:textId="77777777" w:rsidR="001F461C" w:rsidRDefault="001F461C">
      <w:pPr>
        <w:pBdr>
          <w:top w:val="single" w:sz="6" w:space="2" w:color="9B9EA4"/>
        </w:pBdr>
        <w:spacing w:before="100" w:after="0"/>
      </w:pPr>
    </w:p>
    <w:p w14:paraId="300C61E4" w14:textId="77777777" w:rsidR="001F461C" w:rsidRDefault="00144CD1">
      <w:pPr>
        <w:spacing w:after="0"/>
      </w:pPr>
      <w:r>
        <w:rPr>
          <w:i/>
          <w:sz w:val="15"/>
        </w:rPr>
        <w:t xml:space="preserve">Prepared by </w:t>
      </w:r>
      <w:proofErr w:type="gramStart"/>
      <w:r>
        <w:rPr>
          <w:i/>
          <w:sz w:val="15"/>
        </w:rPr>
        <w:t>the Purdue</w:t>
      </w:r>
      <w:proofErr w:type="gramEnd"/>
      <w:r>
        <w:rPr>
          <w:i/>
          <w:sz w:val="15"/>
        </w:rPr>
        <w:t xml:space="preserve"> SMIF for educational purposes. Figures from Amazon.com 10-K and quarterly earnings releases (FY2021–FY2025); market data as of June 9, 2026. Intrinsic values are model outputs and forward-looking estimates, not statements of fact; actual results will differ. Not investment advice. Valuation date: June 9, 2026.</w:t>
      </w:r>
    </w:p>
    <w:sectPr w:rsidR="001F461C" w:rsidSect="00034616">
      <w:pgSz w:w="12240" w:h="15840"/>
      <w:pgMar w:top="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8455924">
    <w:abstractNumId w:val="8"/>
  </w:num>
  <w:num w:numId="2" w16cid:durableId="67507217">
    <w:abstractNumId w:val="6"/>
  </w:num>
  <w:num w:numId="3" w16cid:durableId="1774475353">
    <w:abstractNumId w:val="5"/>
  </w:num>
  <w:num w:numId="4" w16cid:durableId="1914046390">
    <w:abstractNumId w:val="4"/>
  </w:num>
  <w:num w:numId="5" w16cid:durableId="861550709">
    <w:abstractNumId w:val="7"/>
  </w:num>
  <w:num w:numId="6" w16cid:durableId="66223911">
    <w:abstractNumId w:val="3"/>
  </w:num>
  <w:num w:numId="7" w16cid:durableId="1683555830">
    <w:abstractNumId w:val="2"/>
  </w:num>
  <w:num w:numId="8" w16cid:durableId="1602451499">
    <w:abstractNumId w:val="1"/>
  </w:num>
  <w:num w:numId="9" w16cid:durableId="33877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519"/>
    <w:rsid w:val="00034616"/>
    <w:rsid w:val="0006063C"/>
    <w:rsid w:val="0015074B"/>
    <w:rsid w:val="001F461C"/>
    <w:rsid w:val="0029639D"/>
    <w:rsid w:val="00326F90"/>
    <w:rsid w:val="00341B83"/>
    <w:rsid w:val="005328F2"/>
    <w:rsid w:val="006C552E"/>
    <w:rsid w:val="008C56C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B3D10"/>
  <w14:defaultImageDpi w14:val="300"/>
  <w15:docId w15:val="{D8759EA2-B679-42BF-8568-984FD081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Calibri" w:hAnsi="Calibri"/>
      <w:color w:val="6F727B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Ian Y Teh</cp:lastModifiedBy>
  <cp:revision>5</cp:revision>
  <dcterms:created xsi:type="dcterms:W3CDTF">2026-06-10T06:38:00Z</dcterms:created>
  <dcterms:modified xsi:type="dcterms:W3CDTF">2026-06-10T06:41:00Z</dcterms:modified>
  <cp:category/>
</cp:coreProperties>
</file>